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附件3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中南大学</w:t>
      </w:r>
      <w:r>
        <w:rPr>
          <w:rFonts w:asciiTheme="minorEastAsia" w:hAnsiTheme="minorEastAsia" w:eastAsiaTheme="minorEastAsia"/>
          <w:b/>
          <w:sz w:val="36"/>
          <w:szCs w:val="36"/>
        </w:rPr>
        <w:t>研究生学位论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文预答辩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（开题）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公告</w:t>
      </w:r>
      <w:r>
        <w:rPr>
          <w:rFonts w:hint="eastAsia" w:ascii="宋体" w:hAnsi="宋体"/>
          <w:b/>
          <w:sz w:val="36"/>
          <w:szCs w:val="36"/>
          <w:lang w:eastAsia="zh-CN"/>
        </w:rPr>
        <w:t>（第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>
      <w:pPr>
        <w:spacing w:line="48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二级培养单位：                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2017.12.26</w:t>
      </w:r>
    </w:p>
    <w:tbl>
      <w:tblPr>
        <w:tblStyle w:val="5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70"/>
        <w:gridCol w:w="1125"/>
        <w:gridCol w:w="1185"/>
        <w:gridCol w:w="1860"/>
        <w:gridCol w:w="1575"/>
        <w:gridCol w:w="1485"/>
        <w:gridCol w:w="50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学号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报告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学生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预答辩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时间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预答辩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t>地点</w:t>
            </w:r>
          </w:p>
        </w:tc>
        <w:tc>
          <w:tcPr>
            <w:tcW w:w="50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141612632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赖大顺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厦门市海沧区乡村旅游管理方案构建研究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141612299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青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普兰公司竟争战略研究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121612424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湖南省职业病防治院医护人员薪酬优化研究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141612551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住宅产业化企业税收筹划的研究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141612453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王婷婷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A市地税局绩效管理优化研究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151611196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张凯欣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资源价值流的投入产出分析研究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151611138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甄婧茹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基于分室模型的生态工业园资源价值流分析研究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E4E4E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151611139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莫少婉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园区工业废弃物资源化价值补偿机制研究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E4E4E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151611152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沈玖柒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工业园区固体废弃物资源化价值流研究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151612609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陈丽娜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Ａ公司与B公司对赌协议在私募融资中的应用研究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151612594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肖雅匀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宜人贷P</w:t>
            </w:r>
            <w:r>
              <w:rPr>
                <w:sz w:val="21"/>
                <w:szCs w:val="21"/>
              </w:rPr>
              <w:t>2P</w:t>
            </w:r>
            <w:r>
              <w:rPr>
                <w:rFonts w:hint="eastAsia"/>
                <w:sz w:val="21"/>
                <w:szCs w:val="21"/>
              </w:rPr>
              <w:t>网贷</w:t>
            </w:r>
            <w:r>
              <w:rPr>
                <w:sz w:val="21"/>
                <w:szCs w:val="21"/>
              </w:rPr>
              <w:t>平台</w:t>
            </w:r>
            <w:r>
              <w:rPr>
                <w:rFonts w:hint="eastAsia"/>
                <w:sz w:val="21"/>
                <w:szCs w:val="21"/>
              </w:rPr>
              <w:t>风险管理</w:t>
            </w:r>
            <w:r>
              <w:rPr>
                <w:sz w:val="21"/>
                <w:szCs w:val="21"/>
              </w:rPr>
              <w:t>研究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E4E4E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151612603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袁杨坚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金友良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区域矿产资源资产负债表编制研究—以浙江地区为例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151612599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赵凌楚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周志方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海纳新材料资源价值流转分析研究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151612596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肖艺璇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周志方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电力企业碳融资决策分析研究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E4E4E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151612396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李小红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肖序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MBA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（开题）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.1.13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铁道商学楼</w:t>
            </w: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济南G公司人力资源成本控制策略优化研究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color w:val="000000"/>
                <w:sz w:val="21"/>
                <w:szCs w:val="21"/>
                <w:shd w:val="clear" w:color="auto" w:fill="E4E4E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ÃÂÃÂÃÂÃÂÃÂÃÂÃÂÃÃ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B6+CAJSymbol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MR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FRM109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dvOT863180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Display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7+CAJ FNT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T Extra Tiger">
    <w:altName w:val="MT Extra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altName w:val="Segoe UI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T6a9e2faf.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Y238+ZFWJLH-2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R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Symbol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MQCyA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8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MQCx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B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A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MQCx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D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E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BX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VJh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FVJhd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+ZFVJhd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41153C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4A5FD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0"/>
    <w:rsid w:val="0003170D"/>
    <w:rsid w:val="000D3565"/>
    <w:rsid w:val="00245CB4"/>
    <w:rsid w:val="005260C7"/>
    <w:rsid w:val="0055383A"/>
    <w:rsid w:val="005C6AA3"/>
    <w:rsid w:val="0066755A"/>
    <w:rsid w:val="00685A04"/>
    <w:rsid w:val="00720FDB"/>
    <w:rsid w:val="008106F0"/>
    <w:rsid w:val="008549F6"/>
    <w:rsid w:val="0087593F"/>
    <w:rsid w:val="009D3AE0"/>
    <w:rsid w:val="00AE0F44"/>
    <w:rsid w:val="00C00934"/>
    <w:rsid w:val="00D064EE"/>
    <w:rsid w:val="00DA74CE"/>
    <w:rsid w:val="00E163B1"/>
    <w:rsid w:val="00E21B18"/>
    <w:rsid w:val="00EC7FA5"/>
    <w:rsid w:val="1BA4688E"/>
    <w:rsid w:val="1CFF324E"/>
    <w:rsid w:val="6CFF35F9"/>
    <w:rsid w:val="788203C8"/>
    <w:rsid w:val="795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ScaleCrop>false</ScaleCrop>
  <LinksUpToDate>false</LinksUpToDate>
  <CharactersWithSpaces>604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Administrator</cp:lastModifiedBy>
  <dcterms:modified xsi:type="dcterms:W3CDTF">2017-12-29T02:02:09Z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